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58" w:rsidRPr="00E33858" w:rsidRDefault="00E33858" w:rsidP="00E33858">
      <w:pPr>
        <w:spacing w:after="0" w:line="420" w:lineRule="atLeast"/>
        <w:outlineLvl w:val="1"/>
        <w:rPr>
          <w:rFonts w:ascii="Tahoma" w:eastAsia="Times New Roman" w:hAnsi="Tahoma" w:cs="Tahoma"/>
          <w:b/>
          <w:bCs/>
          <w:color w:val="000000"/>
          <w:sz w:val="43"/>
          <w:szCs w:val="43"/>
          <w:lang w:eastAsia="ru-RU"/>
        </w:rPr>
      </w:pPr>
      <w:r w:rsidRPr="00E33858">
        <w:rPr>
          <w:rFonts w:ascii="Tahoma" w:eastAsia="Times New Roman" w:hAnsi="Tahoma" w:cs="Tahoma"/>
          <w:b/>
          <w:bCs/>
          <w:color w:val="000000"/>
          <w:sz w:val="43"/>
          <w:szCs w:val="43"/>
          <w:lang w:eastAsia="ru-RU"/>
        </w:rPr>
        <w:t>Что такое коррупция</w:t>
      </w:r>
    </w:p>
    <w:p w:rsidR="00E33858" w:rsidRPr="00E33858" w:rsidRDefault="00E33858" w:rsidP="00E33858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proofErr w:type="gramStart"/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В соответствии со статьей 1 Федерального закона от 25 декабря 2008 года № 273-ФЗ «О противодействии коррупции»</w:t>
      </w:r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br/>
      </w:r>
      <w:r w:rsidRPr="00E3385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Коррупция</w:t>
      </w:r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</w:t>
      </w:r>
      <w:proofErr w:type="gramEnd"/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прав для себя или для третьих лиц либо незаконное предоставление такой выгоды указанному лицу другими физическими лицами. Совершение вышеуказанных деяний от имени или в интересах юридического лица.</w:t>
      </w:r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br/>
      </w:r>
      <w:proofErr w:type="gramStart"/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В соответствии со статьей 10 Федерального закона от 25 декабря 2008 года № 273-ФЗ «О противодействии коррупции»</w:t>
      </w:r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br/>
      </w:r>
      <w:r w:rsidRPr="00E3385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Конфликт интересов на государственной или муниципальной службе</w:t>
      </w:r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— это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</w:t>
      </w:r>
      <w:proofErr w:type="gramEnd"/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муниципального служащего и правами и законными интересами граждан, организаций, общества или государства, </w:t>
      </w:r>
      <w:proofErr w:type="gramStart"/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способное</w:t>
      </w:r>
      <w:proofErr w:type="gramEnd"/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привести к причинению вреда правам и законным интересам граждан, организаций, общества или государства.</w:t>
      </w:r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br/>
      </w:r>
      <w:proofErr w:type="gramStart"/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Под </w:t>
      </w:r>
      <w:r w:rsidRPr="00E3385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личной заинтересованностью государственного или муниципального служащего</w:t>
      </w:r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proofErr w:type="gramEnd"/>
    </w:p>
    <w:p w:rsidR="00E33858" w:rsidRPr="00E33858" w:rsidRDefault="00E33858" w:rsidP="00E33858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«Телефон доверия» Министерства общего и профессионального образования Свердловской области по вопросам противодействия коррупции: (343) 371-97-20</w:t>
      </w:r>
    </w:p>
    <w:p w:rsidR="00E33858" w:rsidRPr="00E33858" w:rsidRDefault="00E33858" w:rsidP="00E33858">
      <w:pPr>
        <w:shd w:val="clear" w:color="auto" w:fill="FFFFFF"/>
        <w:spacing w:line="264" w:lineRule="atLeast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E33858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Круглосуточный телефон для приема обращения граждан + 7 (343) 253 88 44 </w:t>
      </w:r>
    </w:p>
    <w:p w:rsidR="00CC6D74" w:rsidRDefault="00CC6D74"/>
    <w:sectPr w:rsidR="00CC6D74" w:rsidSect="00CC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858"/>
    <w:rsid w:val="001923FE"/>
    <w:rsid w:val="002A7F94"/>
    <w:rsid w:val="004B3351"/>
    <w:rsid w:val="00CC6D74"/>
    <w:rsid w:val="00E33858"/>
    <w:rsid w:val="00EF3D79"/>
    <w:rsid w:val="00FE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74"/>
  </w:style>
  <w:style w:type="paragraph" w:styleId="2">
    <w:name w:val="heading 2"/>
    <w:basedOn w:val="a"/>
    <w:link w:val="20"/>
    <w:uiPriority w:val="9"/>
    <w:qFormat/>
    <w:rsid w:val="00E33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8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1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61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" w:space="0" w:color="CDD2D6"/>
                    <w:right w:val="none" w:sz="0" w:space="0" w:color="auto"/>
                  </w:divBdr>
                  <w:divsChild>
                    <w:div w:id="17972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2020-10-27T07:44:00Z</dcterms:created>
  <dcterms:modified xsi:type="dcterms:W3CDTF">2020-10-27T07:47:00Z</dcterms:modified>
</cp:coreProperties>
</file>